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BD8" w:rsidRDefault="003A462B">
      <w:pPr>
        <w:pStyle w:val="a8"/>
        <w:shd w:val="clear" w:color="auto" w:fill="FFFFFF"/>
        <w:spacing w:before="0" w:beforeAutospacing="0" w:after="0" w:afterAutospacing="0" w:line="450" w:lineRule="atLeast"/>
        <w:jc w:val="center"/>
        <w:rPr>
          <w:rFonts w:ascii="方正小标宋简体" w:eastAsia="方正小标宋简体"/>
          <w:sz w:val="44"/>
          <w:szCs w:val="44"/>
        </w:rPr>
      </w:pPr>
      <w:bookmarkStart w:id="0" w:name="_GoBack"/>
      <w:r>
        <w:rPr>
          <w:rFonts w:ascii="方正小标宋简体" w:eastAsia="方正小标宋简体" w:hint="eastAsia"/>
          <w:sz w:val="44"/>
          <w:szCs w:val="44"/>
        </w:rPr>
        <w:t>新版商城电商迁移及系统对接规范要求</w:t>
      </w:r>
    </w:p>
    <w:bookmarkEnd w:id="0"/>
    <w:p w:rsidR="00315BD8" w:rsidRDefault="003A462B">
      <w:pPr>
        <w:spacing w:line="540" w:lineRule="exact"/>
        <w:ind w:firstLineChars="200" w:firstLine="640"/>
        <w:rPr>
          <w:rFonts w:ascii="仿宋" w:eastAsia="仿宋" w:hAnsi="仿宋" w:cs="仿宋_GB2312"/>
          <w:kern w:val="0"/>
          <w:sz w:val="32"/>
          <w:szCs w:val="32"/>
        </w:rPr>
      </w:pPr>
      <w:r>
        <w:rPr>
          <w:rFonts w:ascii="仿宋_GB2312" w:eastAsia="仿宋_GB2312" w:hAnsi="仿宋" w:cs="仿宋" w:hint="eastAsia"/>
          <w:color w:val="000000" w:themeColor="text1"/>
          <w:sz w:val="32"/>
          <w:szCs w:val="32"/>
        </w:rPr>
        <w:t>为提高新版商城网络安全保护能力，根据国家网络安全相关法律法规要求，新版商城进一步规范了电商系统对接安全要求，优化了对接接口规范。具备电子商务平台安全运营能力，且满足下列新版商城对接规范要求的供应商可以申请电商角色进行系统对接。已入驻旧版商城电商，在未开展等保测评的情况下，如继续以电商角色入驻新版商城，可容缺办理迁移，提供书面承诺，承诺最晚于</w:t>
      </w:r>
      <w:r>
        <w:rPr>
          <w:rFonts w:ascii="仿宋_GB2312" w:eastAsia="仿宋_GB2312" w:hAnsi="仿宋" w:cs="仿宋"/>
          <w:color w:val="000000" w:themeColor="text1"/>
          <w:sz w:val="32"/>
          <w:szCs w:val="32"/>
        </w:rPr>
        <w:t>2024</w:t>
      </w:r>
      <w:r>
        <w:rPr>
          <w:rFonts w:ascii="仿宋_GB2312" w:eastAsia="仿宋_GB2312" w:hAnsi="仿宋" w:cs="仿宋" w:hint="eastAsia"/>
          <w:color w:val="000000" w:themeColor="text1"/>
          <w:sz w:val="32"/>
          <w:szCs w:val="32"/>
        </w:rPr>
        <w:t>年</w:t>
      </w:r>
      <w:r>
        <w:rPr>
          <w:rFonts w:ascii="仿宋_GB2312" w:eastAsia="仿宋_GB2312" w:hAnsi="仿宋" w:cs="仿宋"/>
          <w:color w:val="000000" w:themeColor="text1"/>
          <w:sz w:val="32"/>
          <w:szCs w:val="32"/>
        </w:rPr>
        <w:t>7</w:t>
      </w:r>
      <w:r>
        <w:rPr>
          <w:rFonts w:ascii="仿宋_GB2312" w:eastAsia="仿宋_GB2312" w:hAnsi="仿宋" w:cs="仿宋" w:hint="eastAsia"/>
          <w:color w:val="000000" w:themeColor="text1"/>
          <w:sz w:val="32"/>
          <w:szCs w:val="32"/>
        </w:rPr>
        <w:t>月</w:t>
      </w:r>
      <w:r>
        <w:rPr>
          <w:rFonts w:ascii="仿宋_GB2312" w:eastAsia="仿宋_GB2312" w:hAnsi="仿宋" w:cs="仿宋"/>
          <w:color w:val="000000" w:themeColor="text1"/>
          <w:sz w:val="32"/>
          <w:szCs w:val="32"/>
        </w:rPr>
        <w:t>1</w:t>
      </w:r>
      <w:r>
        <w:rPr>
          <w:rFonts w:ascii="仿宋_GB2312" w:eastAsia="仿宋_GB2312" w:hAnsi="仿宋" w:cs="仿宋"/>
          <w:color w:val="000000" w:themeColor="text1"/>
          <w:sz w:val="32"/>
          <w:szCs w:val="32"/>
        </w:rPr>
        <w:t>日前，提交等保备案</w:t>
      </w:r>
      <w:r>
        <w:rPr>
          <w:rFonts w:ascii="仿宋" w:eastAsia="仿宋" w:hAnsi="仿宋" w:cs="___WRD_EMBED_SUB_42" w:hint="eastAsia"/>
          <w:sz w:val="32"/>
          <w:szCs w:val="32"/>
        </w:rPr>
        <w:t>证明及测评报告，并在承诺期内保证电子商务平台的网络及信息安全，承诺期内发生信息安全事故的，或逾期不提供有效的</w:t>
      </w:r>
      <w:r>
        <w:rPr>
          <w:rFonts w:ascii="仿宋_GB2312" w:eastAsia="仿宋_GB2312" w:hAnsi="仿宋" w:cs="仿宋" w:hint="eastAsia"/>
          <w:color w:val="000000" w:themeColor="text1"/>
          <w:sz w:val="32"/>
          <w:szCs w:val="32"/>
        </w:rPr>
        <w:t>等保备案</w:t>
      </w:r>
      <w:r>
        <w:rPr>
          <w:rFonts w:ascii="仿宋" w:eastAsia="仿宋" w:hAnsi="仿宋" w:cs="___WRD_EMBED_SUB_42" w:hint="eastAsia"/>
          <w:sz w:val="32"/>
          <w:szCs w:val="32"/>
        </w:rPr>
        <w:t>证明及测评报告的，将中断系统对接。</w:t>
      </w:r>
    </w:p>
    <w:p w:rsidR="00315BD8" w:rsidRDefault="003A462B">
      <w:pPr>
        <w:spacing w:line="540" w:lineRule="exact"/>
        <w:ind w:firstLineChars="200" w:firstLine="640"/>
        <w:rPr>
          <w:rFonts w:ascii="仿宋" w:eastAsia="仿宋" w:hAnsi="仿宋" w:cs="仿宋_GB2312"/>
          <w:kern w:val="0"/>
          <w:sz w:val="32"/>
          <w:szCs w:val="32"/>
        </w:rPr>
      </w:pPr>
      <w:r>
        <w:rPr>
          <w:rFonts w:ascii="仿宋" w:eastAsia="仿宋" w:hAnsi="仿宋" w:cs="仿宋_GB2312"/>
          <w:kern w:val="0"/>
          <w:sz w:val="32"/>
          <w:szCs w:val="32"/>
        </w:rPr>
        <w:t>1.</w:t>
      </w:r>
      <w:r>
        <w:rPr>
          <w:rFonts w:ascii="仿宋" w:eastAsia="仿宋" w:hAnsi="仿宋" w:cs="微软雅黑" w:hint="eastAsia"/>
          <w:kern w:val="0"/>
          <w:sz w:val="32"/>
          <w:szCs w:val="32"/>
        </w:rPr>
        <w:t>拥</w:t>
      </w:r>
      <w:r>
        <w:rPr>
          <w:rFonts w:ascii="仿宋" w:eastAsia="仿宋" w:hAnsi="仿宋" w:cs="仿宋_GB2312" w:hint="eastAsia"/>
          <w:kern w:val="0"/>
          <w:sz w:val="32"/>
          <w:szCs w:val="32"/>
        </w:rPr>
        <w:t>有面向社会公开、独立、合法自营的</w:t>
      </w:r>
      <w:r>
        <w:rPr>
          <w:rFonts w:ascii="仿宋" w:eastAsia="仿宋" w:hAnsi="仿宋" w:cs="微软雅黑" w:hint="eastAsia"/>
          <w:kern w:val="0"/>
          <w:sz w:val="32"/>
          <w:szCs w:val="32"/>
        </w:rPr>
        <w:t>电子</w:t>
      </w:r>
      <w:r>
        <w:rPr>
          <w:rFonts w:ascii="仿宋" w:eastAsia="仿宋" w:hAnsi="仿宋" w:cs="仿宋_GB2312" w:hint="eastAsia"/>
          <w:kern w:val="0"/>
          <w:sz w:val="32"/>
          <w:szCs w:val="32"/>
        </w:rPr>
        <w:t>商务平</w:t>
      </w:r>
      <w:r>
        <w:rPr>
          <w:rFonts w:ascii="仿宋" w:eastAsia="仿宋" w:hAnsi="仿宋" w:cs="微软雅黑" w:hint="eastAsia"/>
          <w:kern w:val="0"/>
          <w:sz w:val="32"/>
          <w:szCs w:val="32"/>
        </w:rPr>
        <w:t>台</w:t>
      </w:r>
      <w:r>
        <w:rPr>
          <w:rFonts w:ascii="仿宋" w:eastAsia="仿宋" w:hAnsi="仿宋" w:cs="___WRD_EMBED_SUB_39" w:hint="eastAsia"/>
          <w:kern w:val="0"/>
          <w:sz w:val="32"/>
          <w:szCs w:val="32"/>
        </w:rPr>
        <w:t>，</w:t>
      </w:r>
      <w:r>
        <w:rPr>
          <w:rFonts w:ascii="仿宋" w:eastAsia="仿宋" w:hAnsi="仿宋" w:cs="微软雅黑" w:hint="eastAsia"/>
          <w:kern w:val="0"/>
          <w:sz w:val="32"/>
          <w:szCs w:val="32"/>
        </w:rPr>
        <w:t>电子</w:t>
      </w:r>
      <w:r>
        <w:rPr>
          <w:rFonts w:ascii="仿宋" w:eastAsia="仿宋" w:hAnsi="仿宋" w:cs="___WRD_EMBED_SUB_39" w:hint="eastAsia"/>
          <w:kern w:val="0"/>
          <w:sz w:val="32"/>
          <w:szCs w:val="32"/>
        </w:rPr>
        <w:t>商务</w:t>
      </w:r>
      <w:r>
        <w:rPr>
          <w:rFonts w:ascii="仿宋" w:eastAsia="仿宋" w:hAnsi="仿宋" w:cs="仿宋_GB2312" w:hint="eastAsia"/>
          <w:kern w:val="0"/>
          <w:sz w:val="32"/>
          <w:szCs w:val="32"/>
        </w:rPr>
        <w:t>平</w:t>
      </w:r>
      <w:r>
        <w:rPr>
          <w:rFonts w:ascii="仿宋" w:eastAsia="仿宋" w:hAnsi="仿宋" w:cs="微软雅黑" w:hint="eastAsia"/>
          <w:kern w:val="0"/>
          <w:sz w:val="32"/>
          <w:szCs w:val="32"/>
        </w:rPr>
        <w:t>台域</w:t>
      </w:r>
      <w:r>
        <w:rPr>
          <w:rFonts w:ascii="仿宋" w:eastAsia="仿宋" w:hAnsi="仿宋" w:cs="___WRD_EMBED_SUB_39" w:hint="eastAsia"/>
          <w:kern w:val="0"/>
          <w:sz w:val="32"/>
          <w:szCs w:val="32"/>
        </w:rPr>
        <w:t>名</w:t>
      </w:r>
      <w:r>
        <w:rPr>
          <w:rFonts w:ascii="仿宋" w:eastAsia="仿宋" w:hAnsi="仿宋" w:cs="微软雅黑" w:hint="eastAsia"/>
          <w:kern w:val="0"/>
          <w:sz w:val="32"/>
          <w:szCs w:val="32"/>
        </w:rPr>
        <w:t>绑</w:t>
      </w:r>
      <w:r>
        <w:rPr>
          <w:rFonts w:ascii="仿宋" w:eastAsia="仿宋" w:hAnsi="仿宋" w:cs="___WRD_EMBED_SUB_39" w:hint="eastAsia"/>
          <w:kern w:val="0"/>
          <w:sz w:val="32"/>
          <w:szCs w:val="32"/>
        </w:rPr>
        <w:t>定独立的</w:t>
      </w:r>
      <w:r>
        <w:rPr>
          <w:rFonts w:ascii="仿宋" w:eastAsia="仿宋" w:hAnsi="仿宋" w:cs="仿宋_GB2312" w:hint="eastAsia"/>
          <w:kern w:val="0"/>
          <w:sz w:val="32"/>
          <w:szCs w:val="32"/>
        </w:rPr>
        <w:t>IP</w:t>
      </w:r>
      <w:r>
        <w:rPr>
          <w:rFonts w:ascii="仿宋" w:eastAsia="仿宋" w:hAnsi="仿宋" w:cs="微软雅黑" w:hint="eastAsia"/>
          <w:kern w:val="0"/>
          <w:sz w:val="32"/>
          <w:szCs w:val="32"/>
        </w:rPr>
        <w:t>地</w:t>
      </w:r>
      <w:r>
        <w:rPr>
          <w:rFonts w:ascii="仿宋" w:eastAsia="仿宋" w:hAnsi="仿宋" w:cs="___WRD_EMBED_SUB_39" w:hint="eastAsia"/>
          <w:kern w:val="0"/>
          <w:sz w:val="32"/>
          <w:szCs w:val="32"/>
        </w:rPr>
        <w:t>址，不得与商城其他入驻</w:t>
      </w:r>
      <w:r>
        <w:rPr>
          <w:rFonts w:ascii="仿宋" w:eastAsia="仿宋" w:hAnsi="仿宋" w:cs="微软雅黑" w:hint="eastAsia"/>
          <w:kern w:val="0"/>
          <w:sz w:val="32"/>
          <w:szCs w:val="32"/>
        </w:rPr>
        <w:t>电</w:t>
      </w:r>
      <w:r>
        <w:rPr>
          <w:rFonts w:ascii="仿宋" w:eastAsia="仿宋" w:hAnsi="仿宋" w:cs="___WRD_EMBED_SUB_39" w:hint="eastAsia"/>
          <w:kern w:val="0"/>
          <w:sz w:val="32"/>
          <w:szCs w:val="32"/>
        </w:rPr>
        <w:t>商的</w:t>
      </w:r>
      <w:r>
        <w:rPr>
          <w:rFonts w:ascii="仿宋" w:eastAsia="仿宋" w:hAnsi="仿宋" w:cs="微软雅黑" w:hint="eastAsia"/>
          <w:kern w:val="0"/>
          <w:sz w:val="32"/>
          <w:szCs w:val="32"/>
        </w:rPr>
        <w:t>电子</w:t>
      </w:r>
      <w:r>
        <w:rPr>
          <w:rFonts w:ascii="仿宋" w:eastAsia="仿宋" w:hAnsi="仿宋" w:cs="___WRD_EMBED_SUB_39" w:hint="eastAsia"/>
          <w:kern w:val="0"/>
          <w:sz w:val="32"/>
          <w:szCs w:val="32"/>
        </w:rPr>
        <w:t>商务平</w:t>
      </w:r>
      <w:r>
        <w:rPr>
          <w:rFonts w:ascii="仿宋" w:eastAsia="仿宋" w:hAnsi="仿宋" w:cs="微软雅黑" w:hint="eastAsia"/>
          <w:kern w:val="0"/>
          <w:sz w:val="32"/>
          <w:szCs w:val="32"/>
        </w:rPr>
        <w:t>台共享域名和</w:t>
      </w:r>
      <w:r>
        <w:rPr>
          <w:rFonts w:ascii="仿宋" w:eastAsia="仿宋" w:hAnsi="仿宋" w:cs="仿宋_GB2312" w:hint="eastAsia"/>
          <w:kern w:val="0"/>
          <w:sz w:val="32"/>
          <w:szCs w:val="32"/>
        </w:rPr>
        <w:t>IP</w:t>
      </w:r>
      <w:r>
        <w:rPr>
          <w:rFonts w:ascii="仿宋" w:eastAsia="仿宋" w:hAnsi="仿宋" w:cs="微软雅黑" w:hint="eastAsia"/>
          <w:kern w:val="0"/>
          <w:sz w:val="32"/>
          <w:szCs w:val="32"/>
        </w:rPr>
        <w:t>地</w:t>
      </w:r>
      <w:r>
        <w:rPr>
          <w:rFonts w:ascii="仿宋" w:eastAsia="仿宋" w:hAnsi="仿宋" w:cs="___WRD_EMBED_SUB_39" w:hint="eastAsia"/>
          <w:kern w:val="0"/>
          <w:sz w:val="32"/>
          <w:szCs w:val="32"/>
        </w:rPr>
        <w:t>址；提供电子商务平台在</w:t>
      </w:r>
      <w:r>
        <w:rPr>
          <w:rFonts w:ascii="仿宋" w:eastAsia="仿宋" w:hAnsi="仿宋" w:cs="微软雅黑" w:hint="eastAsia"/>
          <w:kern w:val="0"/>
          <w:sz w:val="32"/>
          <w:szCs w:val="32"/>
        </w:rPr>
        <w:t>工</w:t>
      </w:r>
      <w:r>
        <w:rPr>
          <w:rFonts w:ascii="仿宋" w:eastAsia="仿宋" w:hAnsi="仿宋" w:cs="仿宋_GB2312" w:hint="eastAsia"/>
          <w:kern w:val="0"/>
          <w:sz w:val="32"/>
          <w:szCs w:val="32"/>
        </w:rPr>
        <w:t>业和信息</w:t>
      </w:r>
      <w:r>
        <w:rPr>
          <w:rFonts w:ascii="仿宋" w:eastAsia="仿宋" w:hAnsi="仿宋" w:cs="微软雅黑" w:hint="eastAsia"/>
          <w:kern w:val="0"/>
          <w:sz w:val="32"/>
          <w:szCs w:val="32"/>
        </w:rPr>
        <w:t>化</w:t>
      </w:r>
      <w:r>
        <w:rPr>
          <w:rFonts w:ascii="仿宋" w:eastAsia="仿宋" w:hAnsi="仿宋" w:cs="___WRD_EMBED_SUB_39" w:hint="eastAsia"/>
          <w:kern w:val="0"/>
          <w:sz w:val="32"/>
          <w:szCs w:val="32"/>
        </w:rPr>
        <w:t>部“</w:t>
      </w:r>
      <w:r>
        <w:rPr>
          <w:rFonts w:ascii="仿宋" w:eastAsia="仿宋" w:hAnsi="仿宋" w:cs="仿宋_GB2312" w:hint="eastAsia"/>
          <w:kern w:val="0"/>
          <w:sz w:val="32"/>
          <w:szCs w:val="32"/>
        </w:rPr>
        <w:t>ICP/IP</w:t>
      </w:r>
      <w:r>
        <w:rPr>
          <w:rFonts w:ascii="仿宋" w:eastAsia="仿宋" w:hAnsi="仿宋" w:cs="微软雅黑" w:hint="eastAsia"/>
          <w:kern w:val="0"/>
          <w:sz w:val="32"/>
          <w:szCs w:val="32"/>
        </w:rPr>
        <w:t>地</w:t>
      </w:r>
      <w:r>
        <w:rPr>
          <w:rFonts w:ascii="仿宋" w:eastAsia="仿宋" w:hAnsi="仿宋" w:cs="仿宋_GB2312" w:hint="eastAsia"/>
          <w:kern w:val="0"/>
          <w:sz w:val="32"/>
          <w:szCs w:val="32"/>
        </w:rPr>
        <w:t>址</w:t>
      </w:r>
      <w:r>
        <w:rPr>
          <w:rFonts w:ascii="仿宋" w:eastAsia="仿宋" w:hAnsi="仿宋" w:cs="仿宋_GB2312" w:hint="eastAsia"/>
          <w:kern w:val="0"/>
          <w:sz w:val="32"/>
          <w:szCs w:val="32"/>
        </w:rPr>
        <w:t>/</w:t>
      </w:r>
      <w:r>
        <w:rPr>
          <w:rFonts w:ascii="仿宋" w:eastAsia="仿宋" w:hAnsi="仿宋" w:cs="微软雅黑" w:hint="eastAsia"/>
          <w:kern w:val="0"/>
          <w:sz w:val="32"/>
          <w:szCs w:val="32"/>
        </w:rPr>
        <w:t>域</w:t>
      </w:r>
      <w:r>
        <w:rPr>
          <w:rFonts w:ascii="仿宋" w:eastAsia="仿宋" w:hAnsi="仿宋" w:cs="___WRD_EMBED_SUB_39" w:hint="eastAsia"/>
          <w:kern w:val="0"/>
          <w:sz w:val="32"/>
          <w:szCs w:val="32"/>
        </w:rPr>
        <w:t>名信息备案管理系统”的备案</w:t>
      </w:r>
      <w:r>
        <w:rPr>
          <w:rFonts w:ascii="仿宋" w:eastAsia="仿宋" w:hAnsi="仿宋" w:cs="微软雅黑" w:hint="eastAsia"/>
          <w:kern w:val="0"/>
          <w:sz w:val="32"/>
          <w:szCs w:val="32"/>
        </w:rPr>
        <w:t>号</w:t>
      </w:r>
      <w:r>
        <w:rPr>
          <w:rFonts w:ascii="仿宋" w:eastAsia="仿宋" w:hAnsi="仿宋" w:cs="___WRD_EMBED_SUB_39" w:hint="eastAsia"/>
          <w:kern w:val="0"/>
          <w:sz w:val="32"/>
          <w:szCs w:val="32"/>
        </w:rPr>
        <w:t>和公安部“全国互联网安全管理服务平</w:t>
      </w:r>
      <w:r>
        <w:rPr>
          <w:rFonts w:ascii="仿宋" w:eastAsia="仿宋" w:hAnsi="仿宋" w:cs="微软雅黑" w:hint="eastAsia"/>
          <w:kern w:val="0"/>
          <w:sz w:val="32"/>
          <w:szCs w:val="32"/>
        </w:rPr>
        <w:t>台</w:t>
      </w:r>
      <w:r>
        <w:rPr>
          <w:rFonts w:ascii="仿宋" w:eastAsia="仿宋" w:hAnsi="仿宋" w:cs="___WRD_EMBED_SUB_39" w:hint="eastAsia"/>
          <w:kern w:val="0"/>
          <w:sz w:val="32"/>
          <w:szCs w:val="32"/>
        </w:rPr>
        <w:t>”的备案</w:t>
      </w:r>
      <w:r>
        <w:rPr>
          <w:rFonts w:ascii="仿宋" w:eastAsia="仿宋" w:hAnsi="仿宋" w:cs="微软雅黑" w:hint="eastAsia"/>
          <w:kern w:val="0"/>
          <w:sz w:val="32"/>
          <w:szCs w:val="32"/>
        </w:rPr>
        <w:t>号</w:t>
      </w:r>
      <w:r>
        <w:rPr>
          <w:rFonts w:ascii="仿宋" w:eastAsia="仿宋" w:hAnsi="仿宋" w:cs="___WRD_EMBED_SUB_39" w:hint="eastAsia"/>
          <w:kern w:val="0"/>
          <w:sz w:val="32"/>
          <w:szCs w:val="32"/>
        </w:rPr>
        <w:t>，供应商应为</w:t>
      </w:r>
      <w:r>
        <w:rPr>
          <w:rFonts w:ascii="仿宋" w:eastAsia="仿宋" w:hAnsi="仿宋" w:cs="微软雅黑" w:hint="eastAsia"/>
          <w:kern w:val="0"/>
          <w:sz w:val="32"/>
          <w:szCs w:val="32"/>
        </w:rPr>
        <w:t>电子</w:t>
      </w:r>
      <w:r>
        <w:rPr>
          <w:rFonts w:ascii="仿宋" w:eastAsia="仿宋" w:hAnsi="仿宋" w:cs="仿宋_GB2312" w:hint="eastAsia"/>
          <w:kern w:val="0"/>
          <w:sz w:val="32"/>
          <w:szCs w:val="32"/>
        </w:rPr>
        <w:t>商务平</w:t>
      </w:r>
      <w:r>
        <w:rPr>
          <w:rFonts w:ascii="仿宋" w:eastAsia="仿宋" w:hAnsi="仿宋" w:cs="微软雅黑" w:hint="eastAsia"/>
          <w:kern w:val="0"/>
          <w:sz w:val="32"/>
          <w:szCs w:val="32"/>
        </w:rPr>
        <w:t>台</w:t>
      </w:r>
      <w:r>
        <w:rPr>
          <w:rFonts w:ascii="仿宋" w:eastAsia="仿宋" w:hAnsi="仿宋" w:cs="___WRD_EMBED_SUB_39" w:hint="eastAsia"/>
          <w:kern w:val="0"/>
          <w:sz w:val="32"/>
          <w:szCs w:val="32"/>
        </w:rPr>
        <w:t>的主办</w:t>
      </w:r>
      <w:r>
        <w:rPr>
          <w:rFonts w:ascii="仿宋" w:eastAsia="仿宋" w:hAnsi="仿宋" w:cs="仿宋_GB2312" w:hint="eastAsia"/>
          <w:kern w:val="0"/>
          <w:sz w:val="32"/>
          <w:szCs w:val="32"/>
        </w:rPr>
        <w:t>单位，或者与</w:t>
      </w:r>
      <w:r>
        <w:rPr>
          <w:rFonts w:ascii="仿宋" w:eastAsia="仿宋" w:hAnsi="仿宋" w:cs="微软雅黑" w:hint="eastAsia"/>
          <w:kern w:val="0"/>
          <w:sz w:val="32"/>
          <w:szCs w:val="32"/>
        </w:rPr>
        <w:t>电子</w:t>
      </w:r>
      <w:r>
        <w:rPr>
          <w:rFonts w:ascii="仿宋" w:eastAsia="仿宋" w:hAnsi="仿宋" w:cs="仿宋_GB2312" w:hint="eastAsia"/>
          <w:kern w:val="0"/>
          <w:sz w:val="32"/>
          <w:szCs w:val="32"/>
        </w:rPr>
        <w:t>商务平</w:t>
      </w:r>
      <w:r>
        <w:rPr>
          <w:rFonts w:ascii="仿宋" w:eastAsia="仿宋" w:hAnsi="仿宋" w:cs="微软雅黑" w:hint="eastAsia"/>
          <w:kern w:val="0"/>
          <w:sz w:val="32"/>
          <w:szCs w:val="32"/>
        </w:rPr>
        <w:t>台</w:t>
      </w:r>
      <w:r>
        <w:rPr>
          <w:rFonts w:ascii="仿宋" w:eastAsia="仿宋" w:hAnsi="仿宋" w:cs="___WRD_EMBED_SUB_39" w:hint="eastAsia"/>
          <w:kern w:val="0"/>
          <w:sz w:val="32"/>
          <w:szCs w:val="32"/>
        </w:rPr>
        <w:t>主办单位</w:t>
      </w:r>
      <w:r>
        <w:rPr>
          <w:rFonts w:ascii="仿宋" w:eastAsia="仿宋" w:hAnsi="仿宋" w:cs="微软雅黑" w:hint="eastAsia"/>
          <w:kern w:val="0"/>
          <w:sz w:val="32"/>
          <w:szCs w:val="32"/>
        </w:rPr>
        <w:t>属</w:t>
      </w:r>
      <w:r>
        <w:rPr>
          <w:rFonts w:ascii="仿宋" w:eastAsia="仿宋" w:hAnsi="仿宋" w:cs="___WRD_EMBED_SUB_39" w:hint="eastAsia"/>
          <w:kern w:val="0"/>
          <w:sz w:val="32"/>
          <w:szCs w:val="32"/>
        </w:rPr>
        <w:t>于同一法人或</w:t>
      </w:r>
      <w:r>
        <w:rPr>
          <w:rFonts w:ascii="仿宋" w:eastAsia="仿宋" w:hAnsi="仿宋" w:cs="仿宋_GB2312" w:hint="eastAsia"/>
          <w:kern w:val="0"/>
          <w:sz w:val="32"/>
          <w:szCs w:val="32"/>
        </w:rPr>
        <w:t>同一集</w:t>
      </w:r>
      <w:r>
        <w:rPr>
          <w:rFonts w:ascii="仿宋" w:eastAsia="仿宋" w:hAnsi="仿宋" w:cs="微软雅黑" w:hint="eastAsia"/>
          <w:kern w:val="0"/>
          <w:sz w:val="32"/>
          <w:szCs w:val="32"/>
        </w:rPr>
        <w:t>团</w:t>
      </w:r>
      <w:r>
        <w:rPr>
          <w:rFonts w:ascii="仿宋" w:eastAsia="仿宋" w:hAnsi="仿宋" w:cs="___WRD_EMBED_SUB_39" w:hint="eastAsia"/>
          <w:kern w:val="0"/>
          <w:sz w:val="32"/>
          <w:szCs w:val="32"/>
        </w:rPr>
        <w:t>公</w:t>
      </w:r>
      <w:r>
        <w:rPr>
          <w:rFonts w:ascii="仿宋" w:eastAsia="仿宋" w:hAnsi="仿宋" w:cs="微软雅黑" w:hint="eastAsia"/>
          <w:kern w:val="0"/>
          <w:sz w:val="32"/>
          <w:szCs w:val="32"/>
        </w:rPr>
        <w:t>司</w:t>
      </w:r>
      <w:r>
        <w:rPr>
          <w:rFonts w:ascii="仿宋" w:eastAsia="仿宋" w:hAnsi="仿宋" w:cs="仿宋_GB2312" w:hint="eastAsia"/>
          <w:kern w:val="0"/>
          <w:sz w:val="32"/>
          <w:szCs w:val="32"/>
        </w:rPr>
        <w:t>。</w:t>
      </w:r>
    </w:p>
    <w:p w:rsidR="00315BD8" w:rsidRDefault="003A462B">
      <w:pPr>
        <w:ind w:firstLineChars="200" w:firstLine="640"/>
        <w:jc w:val="left"/>
        <w:rPr>
          <w:rFonts w:ascii="仿宋" w:eastAsia="仿宋" w:hAnsi="仿宋" w:cs="___WRD_EMBED_SUB_42"/>
          <w:kern w:val="0"/>
          <w:sz w:val="32"/>
          <w:szCs w:val="32"/>
        </w:rPr>
      </w:pPr>
      <w:r>
        <w:rPr>
          <w:rFonts w:ascii="仿宋" w:eastAsia="仿宋" w:hAnsi="仿宋" w:cs="___WRD_EMBED_SUB_42"/>
          <w:kern w:val="0"/>
          <w:sz w:val="32"/>
          <w:szCs w:val="32"/>
        </w:rPr>
        <w:t>2.</w:t>
      </w:r>
      <w:r>
        <w:rPr>
          <w:rFonts w:ascii="仿宋" w:eastAsia="仿宋" w:hAnsi="仿宋" w:cs="___WRD_EMBED_SUB_42" w:hint="eastAsia"/>
          <w:kern w:val="0"/>
          <w:sz w:val="32"/>
          <w:szCs w:val="32"/>
        </w:rPr>
        <w:t>应具备完善的网络安全管理制度规范，配备专业技术力量，采取有效的技术安全防范措施，能够保障电子商务平台安全、稳定运行，有效应对网络安全事件，防范网络违法犯罪活动，保障数据信息的完整性、保密性和可用性。电子商务平台应通过网络安全等级保护二级及以上测评，提供有</w:t>
      </w:r>
      <w:r>
        <w:rPr>
          <w:rFonts w:ascii="仿宋" w:eastAsia="仿宋" w:hAnsi="仿宋" w:cs="___WRD_EMBED_SUB_42" w:hint="eastAsia"/>
          <w:kern w:val="0"/>
          <w:sz w:val="32"/>
          <w:szCs w:val="32"/>
        </w:rPr>
        <w:lastRenderedPageBreak/>
        <w:t>效期内等保定级备案证明及测评报告。每两年更新等保测评报告。</w:t>
      </w:r>
    </w:p>
    <w:p w:rsidR="00315BD8" w:rsidRDefault="003A462B">
      <w:pPr>
        <w:ind w:firstLineChars="200" w:firstLine="640"/>
        <w:jc w:val="left"/>
        <w:rPr>
          <w:rFonts w:ascii="仿宋_GB2312" w:eastAsia="仿宋_GB2312"/>
          <w:kern w:val="0"/>
          <w:sz w:val="32"/>
          <w:szCs w:val="32"/>
        </w:rPr>
      </w:pPr>
      <w:r>
        <w:rPr>
          <w:rFonts w:ascii="仿宋" w:eastAsia="仿宋" w:hAnsi="仿宋" w:cs="___WRD_EMBED_SUB_42" w:hint="eastAsia"/>
          <w:kern w:val="0"/>
          <w:sz w:val="32"/>
          <w:szCs w:val="32"/>
        </w:rPr>
        <w:t>3.</w:t>
      </w:r>
      <w:r>
        <w:rPr>
          <w:rFonts w:ascii="仿宋_GB2312" w:eastAsia="仿宋_GB2312" w:hint="eastAsia"/>
          <w:kern w:val="0"/>
          <w:sz w:val="32"/>
          <w:szCs w:val="32"/>
        </w:rPr>
        <w:t>按照新版商城发布的接口规范进行电商系统对接，推送符合新版商城统一的标准结构化商品参数信息，商城系统将强制校验参数有效性。</w:t>
      </w:r>
    </w:p>
    <w:p w:rsidR="00315BD8" w:rsidRDefault="003A462B">
      <w:pPr>
        <w:ind w:firstLineChars="200" w:firstLine="640"/>
        <w:jc w:val="left"/>
        <w:rPr>
          <w:rFonts w:ascii="仿宋_GB2312" w:eastAsia="仿宋_GB2312"/>
          <w:sz w:val="32"/>
          <w:szCs w:val="32"/>
        </w:rPr>
      </w:pPr>
      <w:r>
        <w:rPr>
          <w:rFonts w:ascii="仿宋_GB2312" w:eastAsia="仿宋_GB2312" w:hint="eastAsia"/>
          <w:kern w:val="0"/>
          <w:sz w:val="32"/>
          <w:szCs w:val="32"/>
        </w:rPr>
        <w:t>4.</w:t>
      </w:r>
      <w:r>
        <w:rPr>
          <w:rFonts w:ascii="仿宋_GB2312" w:eastAsia="仿宋_GB2312" w:hint="eastAsia"/>
          <w:kern w:val="0"/>
          <w:sz w:val="32"/>
          <w:szCs w:val="32"/>
        </w:rPr>
        <w:t>电商参与新版商城项目交易，必须安排本单位专人负责订单管理，通</w:t>
      </w:r>
      <w:r>
        <w:rPr>
          <w:rFonts w:ascii="仿宋_GB2312" w:eastAsia="仿宋_GB2312" w:hint="eastAsia"/>
          <w:kern w:val="0"/>
          <w:sz w:val="32"/>
          <w:szCs w:val="32"/>
        </w:rPr>
        <w:t>过登录商城系统，对采购人下达的订单进行逐笔确认操作，不得脱离商城确认订单。</w:t>
      </w:r>
    </w:p>
    <w:p w:rsidR="00315BD8" w:rsidRDefault="00315BD8"/>
    <w:sectPr w:rsidR="00315BD8" w:rsidSect="00315B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方正小标宋简体">
    <w:altName w:val="黑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___WRD_EMBED_SUB_42">
    <w:altName w:val="黑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___WRD_EMBED_SUB_39">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OTExNzNkZDcwMWJhYTk5OTgwNDIwNzU0ZjcxMzQxZmEifQ=="/>
  </w:docVars>
  <w:rsids>
    <w:rsidRoot w:val="00995B54"/>
    <w:rsid w:val="000934ED"/>
    <w:rsid w:val="001F19CA"/>
    <w:rsid w:val="001F378A"/>
    <w:rsid w:val="00314AA8"/>
    <w:rsid w:val="00314ECC"/>
    <w:rsid w:val="00315BD8"/>
    <w:rsid w:val="003766E5"/>
    <w:rsid w:val="003A462B"/>
    <w:rsid w:val="003F12AA"/>
    <w:rsid w:val="00420434"/>
    <w:rsid w:val="00454C9E"/>
    <w:rsid w:val="00466312"/>
    <w:rsid w:val="00491703"/>
    <w:rsid w:val="00525993"/>
    <w:rsid w:val="00573BD8"/>
    <w:rsid w:val="00595678"/>
    <w:rsid w:val="005A25F5"/>
    <w:rsid w:val="005B01F7"/>
    <w:rsid w:val="005D6149"/>
    <w:rsid w:val="006247A1"/>
    <w:rsid w:val="00673CDC"/>
    <w:rsid w:val="006807C6"/>
    <w:rsid w:val="00681ADA"/>
    <w:rsid w:val="006A2A36"/>
    <w:rsid w:val="006A350B"/>
    <w:rsid w:val="006C14D8"/>
    <w:rsid w:val="006F0756"/>
    <w:rsid w:val="007166F9"/>
    <w:rsid w:val="00730B2C"/>
    <w:rsid w:val="007C085A"/>
    <w:rsid w:val="007C7F60"/>
    <w:rsid w:val="0081700B"/>
    <w:rsid w:val="0084105C"/>
    <w:rsid w:val="008717C8"/>
    <w:rsid w:val="008A078A"/>
    <w:rsid w:val="008B23F6"/>
    <w:rsid w:val="008B6D25"/>
    <w:rsid w:val="008F44E4"/>
    <w:rsid w:val="009865EE"/>
    <w:rsid w:val="00995B54"/>
    <w:rsid w:val="009F30A6"/>
    <w:rsid w:val="00A57E53"/>
    <w:rsid w:val="00AA6114"/>
    <w:rsid w:val="00AC452E"/>
    <w:rsid w:val="00AC5D61"/>
    <w:rsid w:val="00B62356"/>
    <w:rsid w:val="00BA6A23"/>
    <w:rsid w:val="00BF183E"/>
    <w:rsid w:val="00BF65D0"/>
    <w:rsid w:val="00C244C5"/>
    <w:rsid w:val="00C8105B"/>
    <w:rsid w:val="00CD5A3F"/>
    <w:rsid w:val="00CE4206"/>
    <w:rsid w:val="00D9376A"/>
    <w:rsid w:val="00DC02E5"/>
    <w:rsid w:val="00DE1D7C"/>
    <w:rsid w:val="00E22176"/>
    <w:rsid w:val="00E37CE8"/>
    <w:rsid w:val="00E50F5F"/>
    <w:rsid w:val="00E75A86"/>
    <w:rsid w:val="00E8538C"/>
    <w:rsid w:val="00EC1B21"/>
    <w:rsid w:val="00F130AB"/>
    <w:rsid w:val="00FA288C"/>
    <w:rsid w:val="00FE4F59"/>
    <w:rsid w:val="235779CE"/>
    <w:rsid w:val="2CF96A53"/>
    <w:rsid w:val="66E512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B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315BD8"/>
    <w:pPr>
      <w:spacing w:after="120"/>
    </w:pPr>
  </w:style>
  <w:style w:type="paragraph" w:styleId="a4">
    <w:name w:val="Date"/>
    <w:basedOn w:val="a"/>
    <w:next w:val="a"/>
    <w:link w:val="Char0"/>
    <w:uiPriority w:val="99"/>
    <w:semiHidden/>
    <w:unhideWhenUsed/>
    <w:qFormat/>
    <w:rsid w:val="00315BD8"/>
    <w:pPr>
      <w:ind w:leftChars="2500" w:left="100"/>
    </w:pPr>
  </w:style>
  <w:style w:type="paragraph" w:styleId="a5">
    <w:name w:val="Balloon Text"/>
    <w:basedOn w:val="a"/>
    <w:link w:val="Char1"/>
    <w:uiPriority w:val="99"/>
    <w:semiHidden/>
    <w:unhideWhenUsed/>
    <w:rsid w:val="00315BD8"/>
    <w:rPr>
      <w:sz w:val="18"/>
      <w:szCs w:val="18"/>
    </w:rPr>
  </w:style>
  <w:style w:type="paragraph" w:styleId="a6">
    <w:name w:val="footer"/>
    <w:basedOn w:val="a"/>
    <w:link w:val="Char2"/>
    <w:uiPriority w:val="99"/>
    <w:unhideWhenUsed/>
    <w:rsid w:val="00315BD8"/>
    <w:pPr>
      <w:tabs>
        <w:tab w:val="center" w:pos="4153"/>
        <w:tab w:val="right" w:pos="8306"/>
      </w:tabs>
      <w:snapToGrid w:val="0"/>
      <w:jc w:val="left"/>
    </w:pPr>
    <w:rPr>
      <w:sz w:val="18"/>
      <w:szCs w:val="18"/>
    </w:rPr>
  </w:style>
  <w:style w:type="paragraph" w:styleId="a7">
    <w:name w:val="header"/>
    <w:basedOn w:val="a"/>
    <w:link w:val="Char3"/>
    <w:uiPriority w:val="99"/>
    <w:unhideWhenUsed/>
    <w:rsid w:val="00315BD8"/>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315BD8"/>
    <w:pPr>
      <w:widowControl/>
      <w:spacing w:before="100" w:beforeAutospacing="1" w:after="100" w:afterAutospacing="1"/>
      <w:jc w:val="left"/>
    </w:pPr>
    <w:rPr>
      <w:rFonts w:ascii="宋体" w:eastAsia="宋体" w:hAnsi="宋体" w:cs="宋体"/>
      <w:kern w:val="0"/>
      <w:sz w:val="24"/>
      <w:szCs w:val="24"/>
    </w:rPr>
  </w:style>
  <w:style w:type="paragraph" w:styleId="a9">
    <w:name w:val="Body Text First Indent"/>
    <w:basedOn w:val="a3"/>
    <w:link w:val="Char4"/>
    <w:qFormat/>
    <w:rsid w:val="00315BD8"/>
    <w:pPr>
      <w:spacing w:after="0"/>
      <w:ind w:firstLineChars="100" w:firstLine="420"/>
    </w:pPr>
    <w:rPr>
      <w:rFonts w:eastAsia="楷体_GB2312"/>
      <w:sz w:val="24"/>
      <w:szCs w:val="20"/>
    </w:rPr>
  </w:style>
  <w:style w:type="table" w:styleId="aa">
    <w:name w:val="Table Grid"/>
    <w:basedOn w:val="a1"/>
    <w:uiPriority w:val="59"/>
    <w:rsid w:val="00315B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 Char"/>
    <w:basedOn w:val="a0"/>
    <w:link w:val="a3"/>
    <w:uiPriority w:val="99"/>
    <w:semiHidden/>
    <w:rsid w:val="00315BD8"/>
  </w:style>
  <w:style w:type="character" w:customStyle="1" w:styleId="Char4">
    <w:name w:val="正文首行缩进 Char"/>
    <w:basedOn w:val="Char"/>
    <w:link w:val="a9"/>
    <w:rsid w:val="00315BD8"/>
    <w:rPr>
      <w:rFonts w:eastAsia="楷体_GB2312"/>
      <w:sz w:val="24"/>
      <w:szCs w:val="20"/>
    </w:rPr>
  </w:style>
  <w:style w:type="character" w:customStyle="1" w:styleId="Char0">
    <w:name w:val="日期 Char"/>
    <w:basedOn w:val="a0"/>
    <w:link w:val="a4"/>
    <w:uiPriority w:val="99"/>
    <w:semiHidden/>
    <w:qFormat/>
    <w:rsid w:val="00315BD8"/>
  </w:style>
  <w:style w:type="character" w:customStyle="1" w:styleId="Char1">
    <w:name w:val="批注框文本 Char"/>
    <w:basedOn w:val="a0"/>
    <w:link w:val="a5"/>
    <w:uiPriority w:val="99"/>
    <w:semiHidden/>
    <w:qFormat/>
    <w:rsid w:val="00315BD8"/>
    <w:rPr>
      <w:kern w:val="2"/>
      <w:sz w:val="18"/>
      <w:szCs w:val="18"/>
    </w:rPr>
  </w:style>
  <w:style w:type="character" w:customStyle="1" w:styleId="Char3">
    <w:name w:val="页眉 Char"/>
    <w:basedOn w:val="a0"/>
    <w:link w:val="a7"/>
    <w:uiPriority w:val="99"/>
    <w:rsid w:val="00315BD8"/>
    <w:rPr>
      <w:kern w:val="2"/>
      <w:sz w:val="18"/>
      <w:szCs w:val="18"/>
    </w:rPr>
  </w:style>
  <w:style w:type="character" w:customStyle="1" w:styleId="Char2">
    <w:name w:val="页脚 Char"/>
    <w:basedOn w:val="a0"/>
    <w:link w:val="a6"/>
    <w:uiPriority w:val="99"/>
    <w:rsid w:val="00315BD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Words>
  <Characters>645</Characters>
  <Application>Microsoft Office Word</Application>
  <DocSecurity>0</DocSecurity>
  <Lines>5</Lines>
  <Paragraphs>1</Paragraphs>
  <ScaleCrop>false</ScaleCrop>
  <Company>神州网信技术有限公司</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2024-01-10T06:08:00Z</dcterms:created>
  <dcterms:modified xsi:type="dcterms:W3CDTF">2024-01-10T06:08:00Z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33E906CD5181470FADF0D4F1AD54B641_12</vt:lpwstr>
  </property>
</Properties>
</file>